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29E5" w14:textId="77777777" w:rsidR="00594ECD" w:rsidRPr="00B70E7E" w:rsidRDefault="00594ECD" w:rsidP="00594ECD">
      <w:pPr>
        <w:jc w:val="center"/>
        <w:rPr>
          <w:rFonts w:cs="Arial"/>
          <w:b/>
          <w:sz w:val="28"/>
          <w:szCs w:val="28"/>
        </w:rPr>
      </w:pPr>
      <w:r>
        <w:rPr>
          <w:rFonts w:cs="Arial"/>
          <w:b/>
          <w:sz w:val="28"/>
          <w:szCs w:val="28"/>
        </w:rPr>
        <w:t>Guideline 17</w:t>
      </w:r>
    </w:p>
    <w:p w14:paraId="472F0311" w14:textId="77777777" w:rsidR="00594ECD" w:rsidRDefault="00594ECD" w:rsidP="00594ECD">
      <w:pPr>
        <w:jc w:val="center"/>
        <w:rPr>
          <w:rFonts w:cs="Arial"/>
          <w:b/>
          <w:sz w:val="36"/>
          <w:szCs w:val="36"/>
        </w:rPr>
      </w:pPr>
      <w:r>
        <w:rPr>
          <w:rFonts w:cs="Arial"/>
          <w:b/>
          <w:sz w:val="36"/>
          <w:szCs w:val="36"/>
        </w:rPr>
        <w:t>Roles and Responsibilities</w:t>
      </w:r>
    </w:p>
    <w:p w14:paraId="71958AF3" w14:textId="77777777" w:rsidR="00594ECD" w:rsidRPr="006B1D86" w:rsidRDefault="00594ECD" w:rsidP="00594ECD">
      <w:pPr>
        <w:pStyle w:val="NoSpacing"/>
        <w:rPr>
          <w:b/>
          <w:lang w:eastAsia="en-GB"/>
        </w:rPr>
      </w:pPr>
      <w:r w:rsidRPr="006B1D86">
        <w:rPr>
          <w:b/>
          <w:lang w:eastAsia="en-GB"/>
        </w:rPr>
        <w:t xml:space="preserve">Club </w:t>
      </w:r>
      <w:r>
        <w:rPr>
          <w:b/>
          <w:lang w:eastAsia="en-GB"/>
        </w:rPr>
        <w:t>Safeguarding O</w:t>
      </w:r>
      <w:r w:rsidRPr="006B1D86">
        <w:rPr>
          <w:b/>
          <w:lang w:eastAsia="en-GB"/>
        </w:rPr>
        <w:t>fficer</w:t>
      </w:r>
    </w:p>
    <w:p w14:paraId="11007C13" w14:textId="77777777" w:rsidR="00594ECD" w:rsidRPr="00FC4A72" w:rsidRDefault="00594ECD" w:rsidP="00594ECD">
      <w:pPr>
        <w:rPr>
          <w:spacing w:val="-2"/>
        </w:rPr>
      </w:pPr>
      <w:r>
        <w:rPr>
          <w:spacing w:val="-2"/>
        </w:rPr>
        <w:t>The person within the c</w:t>
      </w:r>
      <w:r w:rsidRPr="00FC4A72">
        <w:rPr>
          <w:spacing w:val="-2"/>
        </w:rPr>
        <w:t>lub has the responsibility for managing and reporting concerns about children</w:t>
      </w:r>
      <w:r>
        <w:rPr>
          <w:spacing w:val="-2"/>
        </w:rPr>
        <w:t xml:space="preserve"> </w:t>
      </w:r>
      <w:r w:rsidRPr="00AD3D2B">
        <w:rPr>
          <w:spacing w:val="-2"/>
        </w:rPr>
        <w:t xml:space="preserve">or adults at risk and </w:t>
      </w:r>
      <w:r w:rsidRPr="00FC4A72">
        <w:rPr>
          <w:spacing w:val="-2"/>
        </w:rPr>
        <w:t>for putting into place p</w:t>
      </w:r>
      <w:r>
        <w:rPr>
          <w:spacing w:val="-2"/>
        </w:rPr>
        <w:t xml:space="preserve">rocedures to safeguard these individuals </w:t>
      </w:r>
      <w:r w:rsidRPr="00FC4A72">
        <w:rPr>
          <w:spacing w:val="-2"/>
        </w:rPr>
        <w:t>in the club.</w:t>
      </w:r>
    </w:p>
    <w:p w14:paraId="5AA498AD" w14:textId="77777777" w:rsidR="00594ECD" w:rsidRPr="006B1D86" w:rsidRDefault="00594ECD" w:rsidP="00594ECD">
      <w:pPr>
        <w:pStyle w:val="NoSpacing"/>
        <w:rPr>
          <w:b/>
          <w:lang w:eastAsia="en-GB"/>
        </w:rPr>
      </w:pPr>
      <w:r w:rsidRPr="006B1D86">
        <w:rPr>
          <w:b/>
          <w:lang w:eastAsia="en-GB"/>
        </w:rPr>
        <w:t xml:space="preserve">County/Regional </w:t>
      </w:r>
      <w:r>
        <w:rPr>
          <w:b/>
          <w:lang w:eastAsia="en-GB"/>
        </w:rPr>
        <w:t>Safeguarding O</w:t>
      </w:r>
      <w:r w:rsidRPr="006B1D86">
        <w:rPr>
          <w:b/>
          <w:lang w:eastAsia="en-GB"/>
        </w:rPr>
        <w:t>fficer</w:t>
      </w:r>
    </w:p>
    <w:p w14:paraId="77821264" w14:textId="77777777" w:rsidR="00594ECD" w:rsidRDefault="00594ECD" w:rsidP="00594ECD">
      <w:pPr>
        <w:rPr>
          <w:lang w:eastAsia="en-GB"/>
        </w:rPr>
      </w:pPr>
      <w:r w:rsidRPr="0099555F">
        <w:rPr>
          <w:lang w:eastAsia="en-GB"/>
        </w:rPr>
        <w:t xml:space="preserve">The person within a sports organisation with </w:t>
      </w:r>
      <w:r>
        <w:rPr>
          <w:lang w:eastAsia="en-GB"/>
        </w:rPr>
        <w:t xml:space="preserve">the </w:t>
      </w:r>
      <w:r w:rsidRPr="0099555F">
        <w:rPr>
          <w:lang w:eastAsia="en-GB"/>
        </w:rPr>
        <w:t>responsibility for managing and reporting concerns about children</w:t>
      </w:r>
      <w:r>
        <w:rPr>
          <w:lang w:eastAsia="en-GB"/>
        </w:rPr>
        <w:t xml:space="preserve"> and </w:t>
      </w:r>
      <w:r w:rsidRPr="00AD3D2B">
        <w:rPr>
          <w:spacing w:val="-2"/>
        </w:rPr>
        <w:t xml:space="preserve">adults at risk </w:t>
      </w:r>
      <w:r w:rsidRPr="0099555F">
        <w:rPr>
          <w:lang w:eastAsia="en-GB"/>
        </w:rPr>
        <w:t xml:space="preserve">and for putting into place procedures to safeguard </w:t>
      </w:r>
      <w:r>
        <w:rPr>
          <w:lang w:eastAsia="en-GB"/>
        </w:rPr>
        <w:t>both within the C</w:t>
      </w:r>
      <w:r w:rsidRPr="0099555F">
        <w:rPr>
          <w:lang w:eastAsia="en-GB"/>
        </w:rPr>
        <w:t xml:space="preserve">ounty </w:t>
      </w:r>
      <w:r>
        <w:rPr>
          <w:lang w:eastAsia="en-GB"/>
        </w:rPr>
        <w:t>structure.</w:t>
      </w:r>
    </w:p>
    <w:p w14:paraId="54087599" w14:textId="77777777" w:rsidR="00594ECD" w:rsidRPr="006B1D86" w:rsidRDefault="00594ECD" w:rsidP="00594ECD">
      <w:pPr>
        <w:pStyle w:val="NoSpacing"/>
        <w:rPr>
          <w:b/>
          <w:lang w:eastAsia="en-GB"/>
        </w:rPr>
      </w:pPr>
      <w:r w:rsidRPr="006B1D86">
        <w:rPr>
          <w:b/>
          <w:lang w:eastAsia="en-GB"/>
        </w:rPr>
        <w:t>National Designated Safeguarding</w:t>
      </w:r>
      <w:r>
        <w:rPr>
          <w:b/>
          <w:lang w:eastAsia="en-GB"/>
        </w:rPr>
        <w:t xml:space="preserve"> O</w:t>
      </w:r>
      <w:r w:rsidRPr="006B1D86">
        <w:rPr>
          <w:b/>
          <w:lang w:eastAsia="en-GB"/>
        </w:rPr>
        <w:t>fficer</w:t>
      </w:r>
    </w:p>
    <w:p w14:paraId="63943E61" w14:textId="77777777" w:rsidR="00594ECD" w:rsidRDefault="00594ECD" w:rsidP="00594ECD">
      <w:pPr>
        <w:rPr>
          <w:lang w:eastAsia="en-GB"/>
        </w:rPr>
      </w:pPr>
      <w:r w:rsidRPr="0099555F">
        <w:rPr>
          <w:lang w:eastAsia="en-GB"/>
        </w:rPr>
        <w:t xml:space="preserve">The designated person within a </w:t>
      </w:r>
      <w:r>
        <w:rPr>
          <w:lang w:eastAsia="en-GB"/>
        </w:rPr>
        <w:t>sports organisation with ultimate</w:t>
      </w:r>
      <w:r w:rsidRPr="0099555F">
        <w:rPr>
          <w:lang w:eastAsia="en-GB"/>
        </w:rPr>
        <w:t xml:space="preserve"> responsib</w:t>
      </w:r>
      <w:r>
        <w:rPr>
          <w:lang w:eastAsia="en-GB"/>
        </w:rPr>
        <w:t xml:space="preserve">ility for managing </w:t>
      </w:r>
      <w:r w:rsidRPr="0099555F">
        <w:rPr>
          <w:lang w:eastAsia="en-GB"/>
        </w:rPr>
        <w:t>concerns about children</w:t>
      </w:r>
      <w:r>
        <w:rPr>
          <w:lang w:eastAsia="en-GB"/>
        </w:rPr>
        <w:t xml:space="preserve"> and </w:t>
      </w:r>
      <w:r w:rsidRPr="00AD3D2B">
        <w:rPr>
          <w:spacing w:val="-2"/>
        </w:rPr>
        <w:t xml:space="preserve">adults at risk </w:t>
      </w:r>
      <w:r w:rsidRPr="0099555F">
        <w:rPr>
          <w:lang w:eastAsia="en-GB"/>
        </w:rPr>
        <w:t>and for putting into place p</w:t>
      </w:r>
      <w:r>
        <w:rPr>
          <w:lang w:eastAsia="en-GB"/>
        </w:rPr>
        <w:t>rocedures to safeguard these individuals in the organisation.</w:t>
      </w:r>
    </w:p>
    <w:p w14:paraId="4929FA3C" w14:textId="77777777" w:rsidR="00594ECD" w:rsidRPr="006B1D86" w:rsidRDefault="00594ECD" w:rsidP="00594ECD">
      <w:pPr>
        <w:pStyle w:val="NoSpacing"/>
        <w:rPr>
          <w:b/>
          <w:lang w:eastAsia="en-GB"/>
        </w:rPr>
      </w:pPr>
      <w:r w:rsidRPr="006B1D86">
        <w:rPr>
          <w:b/>
          <w:lang w:eastAsia="en-GB"/>
        </w:rPr>
        <w:t>Case Management Group</w:t>
      </w:r>
    </w:p>
    <w:p w14:paraId="6A71B852" w14:textId="77777777" w:rsidR="00594ECD" w:rsidRDefault="00594ECD" w:rsidP="00594ECD">
      <w:pPr>
        <w:rPr>
          <w:lang w:eastAsia="en-GB"/>
        </w:rPr>
      </w:pPr>
      <w:r w:rsidRPr="0099555F">
        <w:rPr>
          <w:lang w:eastAsia="en-GB"/>
        </w:rPr>
        <w:t xml:space="preserve">The role of the case management group (CMG) is to manage the sports </w:t>
      </w:r>
      <w:r w:rsidRPr="00AD3D2B">
        <w:rPr>
          <w:lang w:eastAsia="en-GB"/>
        </w:rPr>
        <w:t xml:space="preserve">organisation's initial response to reported concerns about the welfare or abuse of children and </w:t>
      </w:r>
      <w:r w:rsidRPr="00AD3D2B">
        <w:rPr>
          <w:spacing w:val="-2"/>
        </w:rPr>
        <w:t>adults at risk</w:t>
      </w:r>
      <w:r w:rsidRPr="00AD3D2B">
        <w:rPr>
          <w:lang w:eastAsia="en-GB"/>
        </w:rPr>
        <w:t xml:space="preserve">, and potential risks from adults or other young people. This includes the level at which the </w:t>
      </w:r>
      <w:r w:rsidRPr="0099555F">
        <w:rPr>
          <w:lang w:eastAsia="en-GB"/>
        </w:rPr>
        <w:t xml:space="preserve">concern will be dealt with (from local to national), which procedures will be used and </w:t>
      </w:r>
      <w:proofErr w:type="gramStart"/>
      <w:r w:rsidRPr="0099555F">
        <w:rPr>
          <w:lang w:eastAsia="en-GB"/>
        </w:rPr>
        <w:t>whether or not</w:t>
      </w:r>
      <w:proofErr w:type="gramEnd"/>
      <w:r w:rsidRPr="0099555F">
        <w:rPr>
          <w:lang w:eastAsia="en-GB"/>
        </w:rPr>
        <w:t xml:space="preserve"> the concerns should be discussed with or referred to statutory agencies. The CMG should also monitor progress on cases and report to the organisation’s senior management or board on issues arising from cases and trends which require management action.</w:t>
      </w:r>
    </w:p>
    <w:p w14:paraId="27B90A8A" w14:textId="77777777" w:rsidR="00594ECD" w:rsidRPr="006B1D86" w:rsidRDefault="00594ECD" w:rsidP="00594ECD">
      <w:pPr>
        <w:pStyle w:val="NoSpacing"/>
        <w:rPr>
          <w:b/>
          <w:lang w:eastAsia="en-GB"/>
        </w:rPr>
      </w:pPr>
      <w:r w:rsidRPr="006B1D86">
        <w:rPr>
          <w:b/>
          <w:lang w:eastAsia="en-GB"/>
        </w:rPr>
        <w:t>Children’s Social Care or Children’s Services</w:t>
      </w:r>
    </w:p>
    <w:p w14:paraId="00D6276E" w14:textId="77777777" w:rsidR="00594ECD" w:rsidRDefault="00594ECD" w:rsidP="00594ECD">
      <w:pPr>
        <w:rPr>
          <w:lang w:eastAsia="en-GB"/>
        </w:rPr>
      </w:pPr>
      <w:r w:rsidRPr="0099555F">
        <w:rPr>
          <w:lang w:eastAsia="en-GB"/>
        </w:rPr>
        <w:t>The statutory organisation responsible for responding to concerns about children and leading investigations about child abuse in partnership with the police. Also, known as Social Services.</w:t>
      </w:r>
    </w:p>
    <w:p w14:paraId="32B34B87" w14:textId="77777777" w:rsidR="00594ECD" w:rsidRDefault="00594ECD" w:rsidP="00594ECD">
      <w:pPr>
        <w:rPr>
          <w:lang w:eastAsia="en-GB"/>
        </w:rPr>
      </w:pPr>
      <w:r w:rsidRPr="002A1BDC">
        <w:rPr>
          <w:b/>
          <w:lang w:eastAsia="en-GB"/>
        </w:rPr>
        <w:t>Adults Social Care</w:t>
      </w:r>
      <w:r>
        <w:rPr>
          <w:lang w:eastAsia="en-GB"/>
        </w:rPr>
        <w:t xml:space="preserve"> </w:t>
      </w:r>
      <w:r w:rsidRPr="0099555F">
        <w:rPr>
          <w:lang w:eastAsia="en-GB"/>
        </w:rPr>
        <w:t xml:space="preserve">The statutory organisation responsible for </w:t>
      </w:r>
      <w:r>
        <w:rPr>
          <w:lang w:eastAsia="en-GB"/>
        </w:rPr>
        <w:t>making sure that older people, adults with physical disabilities, mental health needs, learning disabilities and Adults at Risk get the information, advice and support</w:t>
      </w:r>
      <w:r w:rsidRPr="0099555F">
        <w:rPr>
          <w:lang w:eastAsia="en-GB"/>
        </w:rPr>
        <w:t>.</w:t>
      </w:r>
    </w:p>
    <w:p w14:paraId="23654619" w14:textId="77777777" w:rsidR="00594ECD" w:rsidRPr="006B1D86" w:rsidRDefault="00594ECD" w:rsidP="00594ECD">
      <w:pPr>
        <w:pStyle w:val="NoSpacing"/>
        <w:rPr>
          <w:b/>
          <w:lang w:eastAsia="en-GB"/>
        </w:rPr>
      </w:pPr>
      <w:r w:rsidRPr="006B1D86">
        <w:rPr>
          <w:b/>
          <w:lang w:eastAsia="en-GB"/>
        </w:rPr>
        <w:t xml:space="preserve">Local </w:t>
      </w:r>
      <w:r w:rsidRPr="00D80296">
        <w:rPr>
          <w:b/>
          <w:lang w:eastAsia="en-GB"/>
        </w:rPr>
        <w:t xml:space="preserve">Safeguarding Children </w:t>
      </w:r>
      <w:r w:rsidRPr="006B1D86">
        <w:rPr>
          <w:b/>
          <w:lang w:eastAsia="en-GB"/>
        </w:rPr>
        <w:t>Boards (LSCBs)</w:t>
      </w:r>
    </w:p>
    <w:p w14:paraId="7F3EFA11" w14:textId="77777777" w:rsidR="00594ECD" w:rsidRDefault="00594ECD" w:rsidP="00594ECD">
      <w:pPr>
        <w:rPr>
          <w:spacing w:val="-2"/>
          <w:lang w:eastAsia="en-GB"/>
        </w:rPr>
      </w:pPr>
      <w:r w:rsidRPr="00080D12">
        <w:rPr>
          <w:spacing w:val="-2"/>
          <w:lang w:eastAsia="en-GB"/>
        </w:rPr>
        <w:t>LSCBs are responsible for local arrangements for protecting children and young people</w:t>
      </w:r>
      <w:r>
        <w:rPr>
          <w:spacing w:val="-2"/>
          <w:lang w:eastAsia="en-GB"/>
        </w:rPr>
        <w:t xml:space="preserve">. </w:t>
      </w:r>
      <w:r w:rsidRPr="00080D12">
        <w:rPr>
          <w:spacing w:val="-2"/>
          <w:lang w:eastAsia="en-GB"/>
        </w:rPr>
        <w:t xml:space="preserve">They provide inter-agency guidelines for child protection. </w:t>
      </w:r>
    </w:p>
    <w:p w14:paraId="2E0C6396" w14:textId="77777777" w:rsidR="00594ECD" w:rsidRPr="006B1D86" w:rsidRDefault="00594ECD" w:rsidP="00594ECD">
      <w:pPr>
        <w:pStyle w:val="NoSpacing"/>
        <w:rPr>
          <w:b/>
          <w:lang w:eastAsia="en-GB"/>
        </w:rPr>
      </w:pPr>
      <w:r w:rsidRPr="006B1D86">
        <w:rPr>
          <w:b/>
          <w:lang w:eastAsia="en-GB"/>
        </w:rPr>
        <w:t>Safeguarding</w:t>
      </w:r>
      <w:r>
        <w:rPr>
          <w:b/>
          <w:lang w:eastAsia="en-GB"/>
        </w:rPr>
        <w:t xml:space="preserve"> Adults </w:t>
      </w:r>
      <w:r w:rsidRPr="006B1D86">
        <w:rPr>
          <w:b/>
          <w:lang w:eastAsia="en-GB"/>
        </w:rPr>
        <w:t>Boards (</w:t>
      </w:r>
      <w:r>
        <w:rPr>
          <w:b/>
          <w:lang w:eastAsia="en-GB"/>
        </w:rPr>
        <w:t>SA</w:t>
      </w:r>
      <w:r w:rsidRPr="006B1D86">
        <w:rPr>
          <w:b/>
          <w:lang w:eastAsia="en-GB"/>
        </w:rPr>
        <w:t>Bs)</w:t>
      </w:r>
    </w:p>
    <w:p w14:paraId="2C554809" w14:textId="77777777" w:rsidR="00594ECD" w:rsidRPr="00080D12" w:rsidRDefault="00594ECD" w:rsidP="00594ECD">
      <w:pPr>
        <w:rPr>
          <w:spacing w:val="-2"/>
          <w:lang w:eastAsia="en-GB"/>
        </w:rPr>
      </w:pPr>
      <w:r>
        <w:rPr>
          <w:spacing w:val="-2"/>
          <w:lang w:eastAsia="en-GB"/>
        </w:rPr>
        <w:t xml:space="preserve">The </w:t>
      </w:r>
      <w:r w:rsidRPr="00D80296">
        <w:rPr>
          <w:spacing w:val="-2"/>
          <w:lang w:eastAsia="en-GB"/>
        </w:rPr>
        <w:t>purpose of an SAB is to help and safeguard adults with care and support needs</w:t>
      </w:r>
      <w:r>
        <w:rPr>
          <w:spacing w:val="-2"/>
          <w:lang w:eastAsia="en-GB"/>
        </w:rPr>
        <w:t>.</w:t>
      </w:r>
    </w:p>
    <w:p w14:paraId="5EB9533D" w14:textId="77777777" w:rsidR="00594ECD" w:rsidRPr="0099555F" w:rsidRDefault="00594ECD" w:rsidP="00594ECD">
      <w:pPr>
        <w:pStyle w:val="NoSpacing"/>
        <w:jc w:val="both"/>
        <w:rPr>
          <w:rFonts w:cs="Arial"/>
          <w:lang w:eastAsia="en-GB"/>
        </w:rPr>
      </w:pPr>
      <w:r w:rsidRPr="0099555F">
        <w:rPr>
          <w:rFonts w:cs="Arial"/>
          <w:b/>
          <w:bCs/>
          <w:lang w:eastAsia="en-GB"/>
        </w:rPr>
        <w:t xml:space="preserve">Designated </w:t>
      </w:r>
      <w:r>
        <w:rPr>
          <w:rFonts w:cs="Arial"/>
          <w:b/>
          <w:bCs/>
          <w:lang w:eastAsia="en-GB"/>
        </w:rPr>
        <w:t>O</w:t>
      </w:r>
      <w:r w:rsidRPr="0099555F">
        <w:rPr>
          <w:rFonts w:cs="Arial"/>
          <w:b/>
          <w:bCs/>
          <w:lang w:eastAsia="en-GB"/>
        </w:rPr>
        <w:t>fficer (</w:t>
      </w:r>
      <w:r>
        <w:rPr>
          <w:rFonts w:cs="Arial"/>
          <w:b/>
          <w:bCs/>
          <w:lang w:eastAsia="en-GB"/>
        </w:rPr>
        <w:t xml:space="preserve">formerly known as a </w:t>
      </w:r>
      <w:r w:rsidRPr="0099555F">
        <w:rPr>
          <w:rFonts w:cs="Arial"/>
          <w:b/>
          <w:bCs/>
          <w:lang w:eastAsia="en-GB"/>
        </w:rPr>
        <w:t>LADO)</w:t>
      </w:r>
    </w:p>
    <w:p w14:paraId="06BB406D" w14:textId="77777777" w:rsidR="00594ECD" w:rsidRDefault="00594ECD" w:rsidP="00594ECD">
      <w:pPr>
        <w:rPr>
          <w:rStyle w:val="y0nh2b"/>
        </w:rPr>
      </w:pPr>
      <w:r>
        <w:rPr>
          <w:rStyle w:val="y0nh2b"/>
        </w:rPr>
        <w:t>The DO must be contacted within one working day in respect of all cases in which it is alleged that a person who works with children has: behaved in a way that has harmed or may have harmed a child. possibly committed a criminal offence against or related to a child.</w:t>
      </w:r>
    </w:p>
    <w:p w14:paraId="58A35356" w14:textId="77777777" w:rsidR="00594ECD" w:rsidRPr="0099555F" w:rsidRDefault="00594ECD" w:rsidP="00594ECD">
      <w:pPr>
        <w:pStyle w:val="NoSpacing"/>
        <w:jc w:val="both"/>
        <w:rPr>
          <w:rFonts w:cs="Arial"/>
          <w:lang w:eastAsia="en-GB"/>
        </w:rPr>
      </w:pPr>
      <w:r w:rsidRPr="0099555F">
        <w:rPr>
          <w:rFonts w:cs="Arial"/>
          <w:noProof/>
          <w:lang w:eastAsia="en-GB"/>
        </w:rPr>
        <w:lastRenderedPageBreak/>
        <w:drawing>
          <wp:inline distT="0" distB="0" distL="0" distR="0" wp14:anchorId="62D79ED0" wp14:editId="04F46CC1">
            <wp:extent cx="5731510" cy="7865941"/>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865941"/>
                    </a:xfrm>
                    <a:prstGeom prst="rect">
                      <a:avLst/>
                    </a:prstGeom>
                    <a:noFill/>
                    <a:ln>
                      <a:noFill/>
                    </a:ln>
                  </pic:spPr>
                </pic:pic>
              </a:graphicData>
            </a:graphic>
          </wp:inline>
        </w:drawing>
      </w:r>
    </w:p>
    <w:p w14:paraId="0CC0FDDC" w14:textId="77777777" w:rsidR="00594ECD" w:rsidRDefault="00594ECD" w:rsidP="00594ECD">
      <w:pPr>
        <w:rPr>
          <w:rFonts w:cs="Arial"/>
          <w:lang w:eastAsia="en-GB"/>
        </w:rPr>
      </w:pPr>
    </w:p>
    <w:p w14:paraId="5AADC6BF" w14:textId="424DE2FE" w:rsidR="00961919" w:rsidRPr="00594ECD" w:rsidRDefault="00961919" w:rsidP="00594ECD"/>
    <w:sectPr w:rsidR="00961919" w:rsidRPr="00594EC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DBA8" w14:textId="77777777" w:rsidR="008B4F28" w:rsidRDefault="008B4F28" w:rsidP="00AE01D9">
      <w:pPr>
        <w:spacing w:after="0" w:line="240" w:lineRule="auto"/>
      </w:pPr>
      <w:r>
        <w:separator/>
      </w:r>
    </w:p>
  </w:endnote>
  <w:endnote w:type="continuationSeparator" w:id="0">
    <w:p w14:paraId="2C29AC6E" w14:textId="77777777" w:rsidR="008B4F28" w:rsidRDefault="008B4F28"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5331CA76"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A32155">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030F" w14:textId="77777777" w:rsidR="008B4F28" w:rsidRDefault="008B4F28" w:rsidP="00AE01D9">
      <w:pPr>
        <w:spacing w:after="0" w:line="240" w:lineRule="auto"/>
      </w:pPr>
      <w:r>
        <w:separator/>
      </w:r>
    </w:p>
  </w:footnote>
  <w:footnote w:type="continuationSeparator" w:id="0">
    <w:p w14:paraId="4663B701" w14:textId="77777777" w:rsidR="008B4F28" w:rsidRDefault="008B4F28" w:rsidP="00A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2"/>
  </w:num>
  <w:num w:numId="5">
    <w:abstractNumId w:val="9"/>
  </w:num>
  <w:num w:numId="6">
    <w:abstractNumId w:val="11"/>
  </w:num>
  <w:num w:numId="7">
    <w:abstractNumId w:val="0"/>
  </w:num>
  <w:num w:numId="8">
    <w:abstractNumId w:val="3"/>
  </w:num>
  <w:num w:numId="9">
    <w:abstractNumId w:val="7"/>
  </w:num>
  <w:num w:numId="10">
    <w:abstractNumId w:val="1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94ECD"/>
    <w:rsid w:val="005A47D1"/>
    <w:rsid w:val="005B2473"/>
    <w:rsid w:val="00602AB8"/>
    <w:rsid w:val="00617E9F"/>
    <w:rsid w:val="00652A27"/>
    <w:rsid w:val="0067265B"/>
    <w:rsid w:val="006758CC"/>
    <w:rsid w:val="00692FA6"/>
    <w:rsid w:val="00696A60"/>
    <w:rsid w:val="006A081C"/>
    <w:rsid w:val="006A1364"/>
    <w:rsid w:val="006A216D"/>
    <w:rsid w:val="006B1D5F"/>
    <w:rsid w:val="0073648C"/>
    <w:rsid w:val="0074252A"/>
    <w:rsid w:val="0075473D"/>
    <w:rsid w:val="007A4BB3"/>
    <w:rsid w:val="007B5E94"/>
    <w:rsid w:val="007B70B2"/>
    <w:rsid w:val="007E7852"/>
    <w:rsid w:val="0080730A"/>
    <w:rsid w:val="00810494"/>
    <w:rsid w:val="00811AA7"/>
    <w:rsid w:val="00813E52"/>
    <w:rsid w:val="00815715"/>
    <w:rsid w:val="00824754"/>
    <w:rsid w:val="00834AED"/>
    <w:rsid w:val="008B4F28"/>
    <w:rsid w:val="008E247E"/>
    <w:rsid w:val="008E2F8C"/>
    <w:rsid w:val="008E40E6"/>
    <w:rsid w:val="008E4238"/>
    <w:rsid w:val="008F5A48"/>
    <w:rsid w:val="00901452"/>
    <w:rsid w:val="00906C49"/>
    <w:rsid w:val="0091331D"/>
    <w:rsid w:val="00936900"/>
    <w:rsid w:val="00961919"/>
    <w:rsid w:val="00963497"/>
    <w:rsid w:val="00985960"/>
    <w:rsid w:val="009D48AC"/>
    <w:rsid w:val="009F0851"/>
    <w:rsid w:val="00A13627"/>
    <w:rsid w:val="00A160E1"/>
    <w:rsid w:val="00A32155"/>
    <w:rsid w:val="00A673BE"/>
    <w:rsid w:val="00A77C4C"/>
    <w:rsid w:val="00A84A2E"/>
    <w:rsid w:val="00A9133C"/>
    <w:rsid w:val="00AA1370"/>
    <w:rsid w:val="00AC3C1D"/>
    <w:rsid w:val="00AE01D9"/>
    <w:rsid w:val="00AE5527"/>
    <w:rsid w:val="00AE69E9"/>
    <w:rsid w:val="00AE78CA"/>
    <w:rsid w:val="00AF5E71"/>
    <w:rsid w:val="00B05C81"/>
    <w:rsid w:val="00B222DE"/>
    <w:rsid w:val="00B24FAB"/>
    <w:rsid w:val="00B31D26"/>
    <w:rsid w:val="00B546F0"/>
    <w:rsid w:val="00B60260"/>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33509"/>
    <w:rsid w:val="00D46D7E"/>
    <w:rsid w:val="00DA6EDB"/>
    <w:rsid w:val="00DA73FA"/>
    <w:rsid w:val="00DB157C"/>
    <w:rsid w:val="00E1648A"/>
    <w:rsid w:val="00E23C7B"/>
    <w:rsid w:val="00E33803"/>
    <w:rsid w:val="00E366EE"/>
    <w:rsid w:val="00E4112C"/>
    <w:rsid w:val="00E42D7D"/>
    <w:rsid w:val="00E55F71"/>
    <w:rsid w:val="00E847D1"/>
    <w:rsid w:val="00E91D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4A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6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34AED"/>
    <w:rPr>
      <w:rFonts w:asciiTheme="majorHAnsi" w:eastAsiaTheme="majorEastAsia" w:hAnsiTheme="majorHAnsi" w:cstheme="majorBidi"/>
      <w:color w:val="365F91" w:themeColor="accent1" w:themeShade="BF"/>
    </w:rPr>
  </w:style>
  <w:style w:type="character" w:customStyle="1" w:styleId="y0nh2b">
    <w:name w:val="y0nh2b"/>
    <w:basedOn w:val="DefaultParagraphFont"/>
    <w:rsid w:val="0059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67CA-B78E-473A-887E-EAC1702A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2110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2021-05-28T11:16:00Z</dcterms:created>
  <dcterms:modified xsi:type="dcterms:W3CDTF">2021-05-28T11:16:00Z</dcterms:modified>
</cp:coreProperties>
</file>